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80"/>
        <w:gridCol w:w="3822"/>
        <w:gridCol w:w="1367"/>
        <w:gridCol w:w="3525"/>
      </w:tblGrid>
      <w:tr w:rsidR="00862B36" w:rsidRPr="00A109D5" w14:paraId="37EDCB43" w14:textId="77777777" w:rsidTr="005D7E4C">
        <w:trPr>
          <w:trHeight w:val="20"/>
          <w:tblHeader/>
          <w:jc w:val="center"/>
        </w:trPr>
        <w:tc>
          <w:tcPr>
            <w:tcW w:w="10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2DFCA" w14:textId="77777777" w:rsidR="00862B36" w:rsidRPr="008426E4" w:rsidRDefault="00862B36" w:rsidP="00C06AF4">
            <w:pPr>
              <w:spacing w:line="0" w:lineRule="atLeast"/>
              <w:ind w:right="480"/>
              <w:jc w:val="center"/>
              <w:rPr>
                <w:rFonts w:ascii="DFKai-SB" w:eastAsia="DFKai-SB" w:hAnsi="DFKai-SB"/>
                <w:bCs/>
                <w:sz w:val="28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426E4">
              <w:rPr>
                <w:rFonts w:ascii="DFKai-SB" w:eastAsia="DFKai-SB" w:hAnsi="DFKai-SB" w:hint="eastAsia"/>
                <w:bCs/>
                <w:sz w:val="28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苗栗縣私立君毅高級中學 </w:t>
            </w:r>
            <w:r>
              <w:rPr>
                <w:rFonts w:ascii="DFKai-SB" w:eastAsia="DFKai-SB" w:hAnsi="DFKai-SB" w:hint="eastAsia"/>
                <w:bCs/>
                <w:sz w:val="28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</w:t>
            </w:r>
            <w:r w:rsidRPr="008426E4">
              <w:rPr>
                <w:rFonts w:ascii="DFKai-SB" w:eastAsia="DFKai-SB" w:hAnsi="DFKai-SB" w:hint="eastAsia"/>
                <w:bCs/>
                <w:sz w:val="28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學年度 第</w:t>
            </w:r>
            <w:r>
              <w:rPr>
                <w:rFonts w:ascii="DFKai-SB" w:eastAsia="DFKai-SB" w:hAnsi="DFKai-SB" w:hint="eastAsia"/>
                <w:bCs/>
                <w:sz w:val="28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r w:rsidRPr="008426E4">
              <w:rPr>
                <w:rFonts w:ascii="DFKai-SB" w:eastAsia="DFKai-SB" w:hAnsi="DFKai-SB" w:hint="eastAsia"/>
                <w:bCs/>
                <w:sz w:val="28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學期</w:t>
            </w:r>
          </w:p>
          <w:p w14:paraId="24003B40" w14:textId="77777777" w:rsidR="00862B36" w:rsidRPr="009C608B" w:rsidRDefault="00862B36" w:rsidP="00862B36">
            <w:pPr>
              <w:spacing w:line="0" w:lineRule="atLeast"/>
              <w:ind w:right="480"/>
              <w:jc w:val="center"/>
              <w:rPr>
                <w:rFonts w:eastAsia="DFKai-SB"/>
                <w:sz w:val="28"/>
                <w:szCs w:val="40"/>
              </w:rPr>
            </w:pPr>
            <w:r>
              <w:rPr>
                <w:rFonts w:ascii="DFKai-SB" w:eastAsia="DFKai-SB" w:hAnsi="DFKai-SB" w:hint="eastAsia"/>
                <w:bCs/>
                <w:sz w:val="28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探究教學及引導用語</w:t>
            </w:r>
            <w:r w:rsidRPr="008426E4">
              <w:rPr>
                <w:rFonts w:ascii="DFKai-SB" w:eastAsia="DFKai-SB" w:hAnsi="DFKai-SB" w:hint="eastAsia"/>
                <w:bCs/>
                <w:sz w:val="28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融入教學現場觀課紀錄表</w:t>
            </w:r>
          </w:p>
        </w:tc>
      </w:tr>
      <w:tr w:rsidR="00862B36" w:rsidRPr="00A109D5" w14:paraId="5CBAA661" w14:textId="77777777" w:rsidTr="005D7E4C">
        <w:trPr>
          <w:trHeight w:hRule="exact" w:val="680"/>
          <w:tblHeader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B87FB" w14:textId="77777777" w:rsidR="00862B36" w:rsidRPr="00A109D5" w:rsidRDefault="00862B36" w:rsidP="00C06AF4">
            <w:pPr>
              <w:spacing w:line="360" w:lineRule="exact"/>
              <w:ind w:leftChars="30" w:left="72" w:rightChars="30" w:right="72"/>
              <w:jc w:val="distribute"/>
              <w:rPr>
                <w:rFonts w:ascii="DFKai-SB" w:eastAsia="DFKai-SB" w:hAnsi="DFKai-SB"/>
                <w:sz w:val="28"/>
                <w:szCs w:val="28"/>
              </w:rPr>
            </w:pPr>
            <w:r w:rsidRPr="00A109D5">
              <w:rPr>
                <w:rFonts w:ascii="DFKai-SB" w:eastAsia="DFKai-SB" w:hAnsi="DFKai-SB" w:hint="eastAsia"/>
                <w:sz w:val="28"/>
                <w:szCs w:val="28"/>
              </w:rPr>
              <w:t>觀課時間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7C54" w14:textId="77777777" w:rsidR="00862B36" w:rsidRPr="00A109D5" w:rsidRDefault="00862B36" w:rsidP="00C06AF4">
            <w:pPr>
              <w:spacing w:line="360" w:lineRule="exact"/>
              <w:ind w:leftChars="30" w:left="72" w:rightChars="30" w:right="72" w:firstLineChars="200" w:firstLine="560"/>
              <w:rPr>
                <w:rFonts w:ascii="DFKai-SB" w:eastAsia="DFKai-SB" w:hAnsi="DFKai-SB"/>
                <w:sz w:val="28"/>
                <w:szCs w:val="28"/>
              </w:rPr>
            </w:pPr>
            <w:r w:rsidRPr="00A109D5">
              <w:rPr>
                <w:rFonts w:ascii="DFKai-SB" w:eastAsia="DFKai-SB" w:hAnsi="DFKai-SB" w:hint="eastAsia"/>
                <w:sz w:val="28"/>
                <w:szCs w:val="28"/>
              </w:rPr>
              <w:t>年   月   日 第   節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A7BAD" w14:textId="77777777" w:rsidR="00862B36" w:rsidRPr="00A109D5" w:rsidRDefault="00862B36" w:rsidP="00C06AF4">
            <w:pPr>
              <w:spacing w:line="360" w:lineRule="exact"/>
              <w:ind w:leftChars="30" w:left="72" w:rightChars="30" w:right="72"/>
              <w:jc w:val="distribute"/>
              <w:rPr>
                <w:rFonts w:ascii="DFKai-SB" w:eastAsia="DFKai-SB" w:hAnsi="DFKai-SB"/>
                <w:sz w:val="28"/>
                <w:szCs w:val="28"/>
              </w:rPr>
            </w:pPr>
            <w:r w:rsidRPr="00A109D5">
              <w:rPr>
                <w:rFonts w:ascii="DFKai-SB" w:eastAsia="DFKai-SB" w:hAnsi="DFKai-SB" w:hint="eastAsia"/>
                <w:sz w:val="28"/>
                <w:szCs w:val="28"/>
              </w:rPr>
              <w:t>授課教師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7A1E6" w14:textId="77777777" w:rsidR="00862B36" w:rsidRPr="00A109D5" w:rsidRDefault="00862B36" w:rsidP="00C06AF4">
            <w:pPr>
              <w:spacing w:line="360" w:lineRule="exact"/>
              <w:ind w:rightChars="30" w:right="72" w:firstLineChars="100" w:firstLine="280"/>
              <w:rPr>
                <w:rFonts w:ascii="DFKai-SB" w:eastAsia="DFKai-SB" w:hAnsi="DFKai-SB"/>
                <w:sz w:val="28"/>
                <w:szCs w:val="28"/>
              </w:rPr>
            </w:pPr>
          </w:p>
        </w:tc>
      </w:tr>
      <w:tr w:rsidR="00862B36" w:rsidRPr="00A109D5" w14:paraId="1F49865F" w14:textId="77777777" w:rsidTr="005D7E4C">
        <w:trPr>
          <w:trHeight w:hRule="exact" w:val="680"/>
          <w:tblHeader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CF6C" w14:textId="77777777" w:rsidR="00862B36" w:rsidRPr="00A109D5" w:rsidRDefault="00862B36" w:rsidP="00C06AF4">
            <w:pPr>
              <w:spacing w:line="360" w:lineRule="exact"/>
              <w:ind w:leftChars="30" w:left="72" w:rightChars="30" w:right="72"/>
              <w:jc w:val="distribute"/>
              <w:rPr>
                <w:rFonts w:ascii="DFKai-SB" w:eastAsia="DFKai-SB" w:hAnsi="DFKai-SB"/>
                <w:sz w:val="28"/>
                <w:szCs w:val="28"/>
              </w:rPr>
            </w:pPr>
            <w:r w:rsidRPr="00A109D5">
              <w:rPr>
                <w:rFonts w:ascii="DFKai-SB" w:eastAsia="DFKai-SB" w:hAnsi="DFKai-SB" w:hint="eastAsia"/>
                <w:sz w:val="28"/>
                <w:szCs w:val="28"/>
              </w:rPr>
              <w:t>觀課班級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B608F" w14:textId="77777777" w:rsidR="00862B36" w:rsidRPr="00A109D5" w:rsidRDefault="00862B36" w:rsidP="00C06AF4">
            <w:pPr>
              <w:spacing w:line="360" w:lineRule="exact"/>
              <w:ind w:leftChars="30" w:left="72" w:rightChars="30" w:right="72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57BF" w14:textId="77777777" w:rsidR="00862B36" w:rsidRPr="00A109D5" w:rsidRDefault="00862B36" w:rsidP="00C06AF4">
            <w:pPr>
              <w:spacing w:line="360" w:lineRule="exact"/>
              <w:ind w:leftChars="30" w:left="72" w:rightChars="30" w:right="72"/>
              <w:jc w:val="distribute"/>
              <w:rPr>
                <w:rFonts w:ascii="DFKai-SB" w:eastAsia="DFKai-SB" w:hAnsi="DFKai-SB"/>
                <w:sz w:val="28"/>
                <w:szCs w:val="28"/>
              </w:rPr>
            </w:pPr>
            <w:r w:rsidRPr="00A109D5">
              <w:rPr>
                <w:rFonts w:ascii="DFKai-SB" w:eastAsia="DFKai-SB" w:hAnsi="DFKai-SB" w:hint="eastAsia"/>
                <w:sz w:val="28"/>
                <w:szCs w:val="28"/>
              </w:rPr>
              <w:t>觀課教師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6EF5C" w14:textId="77777777" w:rsidR="00862B36" w:rsidRPr="00A109D5" w:rsidRDefault="00862B36" w:rsidP="00C06AF4">
            <w:pPr>
              <w:spacing w:line="360" w:lineRule="exact"/>
              <w:ind w:rightChars="30" w:right="72" w:firstLineChars="100" w:firstLine="280"/>
              <w:rPr>
                <w:rFonts w:ascii="DFKai-SB" w:eastAsia="DFKai-SB" w:hAnsi="DFKai-SB"/>
                <w:sz w:val="28"/>
                <w:szCs w:val="28"/>
              </w:rPr>
            </w:pPr>
          </w:p>
        </w:tc>
      </w:tr>
      <w:tr w:rsidR="00862B36" w:rsidRPr="00FE3186" w14:paraId="5AFBABEA" w14:textId="77777777" w:rsidTr="005D7E4C">
        <w:trPr>
          <w:trHeight w:hRule="exact" w:val="11619"/>
          <w:jc w:val="center"/>
        </w:trPr>
        <w:tc>
          <w:tcPr>
            <w:tcW w:w="10194" w:type="dxa"/>
            <w:gridSpan w:val="4"/>
            <w:tcBorders>
              <w:top w:val="single" w:sz="4" w:space="0" w:color="auto"/>
            </w:tcBorders>
          </w:tcPr>
          <w:p w14:paraId="62B4BE34" w14:textId="77777777" w:rsidR="00862B36" w:rsidRPr="00FE3186" w:rsidRDefault="00862B36" w:rsidP="00C06AF4">
            <w:pPr>
              <w:ind w:rightChars="30" w:right="72"/>
              <w:jc w:val="both"/>
              <w:rPr>
                <w:rFonts w:ascii="DFKai-SB" w:eastAsia="DFKai-SB" w:hAnsi="DFKai-SB"/>
              </w:rPr>
            </w:pPr>
            <w:r w:rsidRPr="00FE3186">
              <w:rPr>
                <w:rFonts w:ascii="DFKai-SB" w:eastAsia="DFKai-SB" w:hAnsi="DFKai-SB" w:hint="eastAsia"/>
              </w:rPr>
              <w:t>觀課重點：</w:t>
            </w:r>
          </w:p>
          <w:p w14:paraId="4AF1CCF9" w14:textId="77777777" w:rsidR="00862B36" w:rsidRPr="00FE3186" w:rsidRDefault="00862B36" w:rsidP="00C06AF4">
            <w:pPr>
              <w:rPr>
                <w:rFonts w:ascii="DFKai-SB" w:eastAsia="DFKai-SB" w:hAnsi="DFKai-SB"/>
              </w:rPr>
            </w:pPr>
          </w:p>
          <w:p w14:paraId="39513E81" w14:textId="77777777" w:rsidR="00862B36" w:rsidRPr="00FE3186" w:rsidRDefault="00862B36" w:rsidP="00862B36">
            <w:pPr>
              <w:rPr>
                <w:rFonts w:ascii="DFKai-SB" w:eastAsia="DFKai-SB" w:hAnsi="DFKai-SB"/>
                <w:szCs w:val="24"/>
              </w:rPr>
            </w:pPr>
            <w:r w:rsidRPr="00FE3186">
              <w:rPr>
                <w:rFonts w:ascii="DFKai-SB" w:eastAsia="DFKai-SB" w:hAnsi="DFKai-SB" w:hint="eastAsia"/>
                <w:szCs w:val="24"/>
              </w:rPr>
              <w:t>1.教師是否在課堂上融入</w:t>
            </w:r>
            <w:r w:rsidR="00FE3186" w:rsidRPr="00FE3186">
              <w:rPr>
                <w:rFonts w:ascii="DFKai-SB" w:eastAsia="DFKai-SB" w:hAnsi="DFKai-SB" w:hint="eastAsia"/>
                <w:szCs w:val="24"/>
              </w:rPr>
              <w:t>該節核心主題，並以主題開展一段</w:t>
            </w:r>
            <w:r w:rsidRPr="00FE3186">
              <w:rPr>
                <w:rFonts w:ascii="DFKai-SB" w:eastAsia="DFKai-SB" w:hAnsi="DFKai-SB" w:hint="eastAsia"/>
                <w:szCs w:val="24"/>
              </w:rPr>
              <w:t>探究式</w:t>
            </w:r>
            <w:r w:rsidR="00FE3186" w:rsidRPr="00FE3186">
              <w:rPr>
                <w:rFonts w:ascii="DFKai-SB" w:eastAsia="DFKai-SB" w:hAnsi="DFKai-SB" w:hint="eastAsia"/>
                <w:szCs w:val="24"/>
              </w:rPr>
              <w:t>討論</w:t>
            </w:r>
            <w:r w:rsidRPr="00FE3186">
              <w:rPr>
                <w:rFonts w:ascii="DFKai-SB" w:eastAsia="DFKai-SB" w:hAnsi="DFKai-SB" w:hint="eastAsia"/>
                <w:szCs w:val="24"/>
              </w:rPr>
              <w:t>？</w:t>
            </w:r>
          </w:p>
          <w:p w14:paraId="7CD7B0BA" w14:textId="77777777" w:rsidR="00862B36" w:rsidRPr="00FE3186" w:rsidRDefault="00862B36" w:rsidP="00C06AF4">
            <w:pPr>
              <w:pStyle w:val="a7"/>
              <w:numPr>
                <w:ilvl w:val="1"/>
                <w:numId w:val="2"/>
              </w:numPr>
              <w:ind w:leftChars="0"/>
              <w:rPr>
                <w:rFonts w:ascii="DFKai-SB" w:eastAsia="DFKai-SB" w:hAnsi="DFKai-SB"/>
              </w:rPr>
            </w:pPr>
            <w:r w:rsidRPr="00FE3186">
              <w:rPr>
                <w:rFonts w:ascii="DFKai-SB" w:eastAsia="DFKai-SB" w:hAnsi="DFKai-SB" w:hint="eastAsia"/>
              </w:rPr>
              <w:t>是</w:t>
            </w:r>
            <w:r w:rsidR="00FE3186" w:rsidRPr="00FE3186">
              <w:rPr>
                <w:rFonts w:ascii="DFKai-SB" w:eastAsia="DFKai-SB" w:hAnsi="DFKai-SB"/>
              </w:rPr>
              <w:br/>
            </w:r>
            <w:r w:rsidR="00FE3186" w:rsidRPr="00FE3186">
              <w:rPr>
                <w:rFonts w:ascii="DFKai-SB" w:eastAsia="DFKai-SB" w:hAnsi="DFKai-SB" w:hint="eastAsia"/>
              </w:rPr>
              <w:t>簡述探究主題及運作模式</w:t>
            </w:r>
            <w:r w:rsidR="00FE3186" w:rsidRPr="00FE3186">
              <w:rPr>
                <w:rFonts w:ascii="DFKai-SB" w:eastAsia="DFKai-SB" w:hAnsi="DFKai-SB"/>
              </w:rPr>
              <w:br/>
            </w:r>
            <w:r w:rsidR="00FE3186" w:rsidRPr="00FE3186">
              <w:rPr>
                <w:rFonts w:ascii="DFKai-SB" w:eastAsia="DFKai-SB" w:hAnsi="DFKai-SB"/>
              </w:rPr>
              <w:br/>
            </w:r>
            <w:r w:rsidR="00FE3186" w:rsidRPr="00FE3186">
              <w:rPr>
                <w:rFonts w:ascii="DFKai-SB" w:eastAsia="DFKai-SB" w:hAnsi="DFKai-SB"/>
              </w:rPr>
              <w:br/>
            </w:r>
          </w:p>
          <w:p w14:paraId="79A3D5EA" w14:textId="77777777" w:rsidR="00862B36" w:rsidRPr="00FE3186" w:rsidRDefault="00862B36" w:rsidP="009818D1">
            <w:pPr>
              <w:pStyle w:val="a7"/>
              <w:numPr>
                <w:ilvl w:val="1"/>
                <w:numId w:val="2"/>
              </w:numPr>
              <w:ind w:leftChars="0"/>
              <w:rPr>
                <w:rFonts w:ascii="DFKai-SB" w:eastAsia="DFKai-SB" w:hAnsi="DFKai-SB"/>
              </w:rPr>
            </w:pPr>
            <w:r w:rsidRPr="00FE3186">
              <w:rPr>
                <w:rFonts w:ascii="DFKai-SB" w:eastAsia="DFKai-SB" w:hAnsi="DFKai-SB" w:hint="eastAsia"/>
              </w:rPr>
              <w:t>否（須說明）：</w:t>
            </w:r>
          </w:p>
          <w:p w14:paraId="1D526613" w14:textId="77777777" w:rsidR="00862B36" w:rsidRPr="00FE3186" w:rsidRDefault="00862B36" w:rsidP="00C06AF4">
            <w:pPr>
              <w:pStyle w:val="a7"/>
              <w:ind w:leftChars="0"/>
              <w:rPr>
                <w:rFonts w:ascii="DFKai-SB" w:eastAsia="DFKai-SB" w:hAnsi="DFKai-SB"/>
              </w:rPr>
            </w:pPr>
          </w:p>
          <w:p w14:paraId="7D22A850" w14:textId="77777777" w:rsidR="00862B36" w:rsidRPr="00FE3186" w:rsidRDefault="00862B36" w:rsidP="00862B36">
            <w:pPr>
              <w:rPr>
                <w:rFonts w:ascii="DFKai-SB" w:eastAsia="DFKai-SB" w:hAnsi="DFKai-SB"/>
                <w:szCs w:val="24"/>
              </w:rPr>
            </w:pPr>
            <w:r w:rsidRPr="00FE3186">
              <w:rPr>
                <w:rFonts w:ascii="DFKai-SB" w:eastAsia="DFKai-SB" w:hAnsi="DFKai-SB" w:hint="eastAsia"/>
                <w:szCs w:val="24"/>
              </w:rPr>
              <w:t>2.教師在執行探究式</w:t>
            </w:r>
            <w:r w:rsidR="00FE3186" w:rsidRPr="00FE3186">
              <w:rPr>
                <w:rFonts w:ascii="DFKai-SB" w:eastAsia="DFKai-SB" w:hAnsi="DFKai-SB" w:hint="eastAsia"/>
                <w:szCs w:val="24"/>
              </w:rPr>
              <w:t>討論中，有關</w:t>
            </w:r>
            <w:r w:rsidRPr="00FE3186">
              <w:rPr>
                <w:rFonts w:ascii="DFKai-SB" w:eastAsia="DFKai-SB" w:hAnsi="DFKai-SB" w:hint="eastAsia"/>
                <w:szCs w:val="24"/>
              </w:rPr>
              <w:t>提問</w:t>
            </w:r>
            <w:r w:rsidR="00FE3186" w:rsidRPr="00FE3186">
              <w:rPr>
                <w:rFonts w:ascii="DFKai-SB" w:eastAsia="DFKai-SB" w:hAnsi="DFKai-SB" w:hint="eastAsia"/>
                <w:szCs w:val="24"/>
              </w:rPr>
              <w:t>設計</w:t>
            </w:r>
            <w:r w:rsidRPr="00FE3186">
              <w:rPr>
                <w:rFonts w:ascii="DFKai-SB" w:eastAsia="DFKai-SB" w:hAnsi="DFKai-SB" w:hint="eastAsia"/>
                <w:szCs w:val="24"/>
              </w:rPr>
              <w:t>，</w:t>
            </w:r>
            <w:r w:rsidR="00FE3186" w:rsidRPr="00FE3186">
              <w:rPr>
                <w:rFonts w:ascii="DFKai-SB" w:eastAsia="DFKai-SB" w:hAnsi="DFKai-SB" w:hint="eastAsia"/>
                <w:szCs w:val="24"/>
              </w:rPr>
              <w:t>命題</w:t>
            </w:r>
            <w:r w:rsidRPr="00FE3186">
              <w:rPr>
                <w:rFonts w:ascii="DFKai-SB" w:eastAsia="DFKai-SB" w:hAnsi="DFKai-SB" w:hint="eastAsia"/>
                <w:szCs w:val="24"/>
              </w:rPr>
              <w:t>是否有</w:t>
            </w:r>
            <w:r w:rsidR="00FE3186" w:rsidRPr="00FE3186">
              <w:rPr>
                <w:rFonts w:ascii="DFKai-SB" w:eastAsia="DFKai-SB" w:hAnsi="DFKai-SB" w:hint="eastAsia"/>
                <w:szCs w:val="24"/>
              </w:rPr>
              <w:t>漸進式</w:t>
            </w:r>
            <w:r w:rsidRPr="00FE3186">
              <w:rPr>
                <w:rFonts w:ascii="DFKai-SB" w:eastAsia="DFKai-SB" w:hAnsi="DFKai-SB" w:hint="eastAsia"/>
                <w:szCs w:val="24"/>
              </w:rPr>
              <w:t>層次</w:t>
            </w:r>
            <w:r w:rsidR="00FE3186" w:rsidRPr="00FE3186">
              <w:rPr>
                <w:rFonts w:ascii="DFKai-SB" w:eastAsia="DFKai-SB" w:hAnsi="DFKai-SB" w:hint="eastAsia"/>
                <w:szCs w:val="24"/>
              </w:rPr>
              <w:t>差異的設計?</w:t>
            </w:r>
          </w:p>
          <w:p w14:paraId="359FF4DB" w14:textId="77777777" w:rsidR="00862B36" w:rsidRPr="00FE3186" w:rsidRDefault="00862B36" w:rsidP="00C06AF4">
            <w:pPr>
              <w:pStyle w:val="a7"/>
              <w:numPr>
                <w:ilvl w:val="1"/>
                <w:numId w:val="2"/>
              </w:numPr>
              <w:ind w:leftChars="0"/>
              <w:rPr>
                <w:rFonts w:ascii="DFKai-SB" w:eastAsia="DFKai-SB" w:hAnsi="DFKai-SB"/>
              </w:rPr>
            </w:pPr>
            <w:r w:rsidRPr="00FE3186">
              <w:rPr>
                <w:rFonts w:ascii="DFKai-SB" w:eastAsia="DFKai-SB" w:hAnsi="DFKai-SB" w:hint="eastAsia"/>
              </w:rPr>
              <w:t>是</w:t>
            </w:r>
            <w:r w:rsidR="00FE3186" w:rsidRPr="00FE3186">
              <w:rPr>
                <w:rFonts w:ascii="DFKai-SB" w:eastAsia="DFKai-SB" w:hAnsi="DFKai-SB"/>
              </w:rPr>
              <w:br/>
            </w:r>
            <w:r w:rsidR="00FE3186" w:rsidRPr="00FE3186">
              <w:rPr>
                <w:rFonts w:ascii="DFKai-SB" w:eastAsia="DFKai-SB" w:hAnsi="DFKai-SB" w:hint="eastAsia"/>
              </w:rPr>
              <w:t>簡述命題設計差異:</w:t>
            </w:r>
            <w:r w:rsidR="00FE3186" w:rsidRPr="00FE3186">
              <w:rPr>
                <w:rFonts w:ascii="DFKai-SB" w:eastAsia="DFKai-SB" w:hAnsi="DFKai-SB"/>
              </w:rPr>
              <w:br/>
            </w:r>
          </w:p>
          <w:p w14:paraId="54814FB2" w14:textId="77777777" w:rsidR="00FE3186" w:rsidRPr="00FE3186" w:rsidRDefault="00FE3186" w:rsidP="00FE3186">
            <w:pPr>
              <w:pStyle w:val="a7"/>
              <w:ind w:leftChars="0" w:left="840"/>
              <w:rPr>
                <w:rFonts w:ascii="DFKai-SB" w:eastAsia="DFKai-SB" w:hAnsi="DFKai-SB"/>
              </w:rPr>
            </w:pPr>
            <w:r w:rsidRPr="00FE3186">
              <w:rPr>
                <w:rFonts w:ascii="DFKai-SB" w:eastAsia="DFKai-SB" w:hAnsi="DFKai-SB"/>
              </w:rPr>
              <w:br/>
            </w:r>
          </w:p>
          <w:p w14:paraId="7FDB4D35" w14:textId="77777777" w:rsidR="00862B36" w:rsidRPr="00FE3186" w:rsidRDefault="00862B36" w:rsidP="00C06AF4">
            <w:pPr>
              <w:pStyle w:val="a7"/>
              <w:numPr>
                <w:ilvl w:val="1"/>
                <w:numId w:val="2"/>
              </w:numPr>
              <w:ind w:leftChars="0"/>
              <w:rPr>
                <w:rFonts w:ascii="DFKai-SB" w:eastAsia="DFKai-SB" w:hAnsi="DFKai-SB"/>
              </w:rPr>
            </w:pPr>
            <w:r w:rsidRPr="00FE3186">
              <w:rPr>
                <w:rFonts w:ascii="DFKai-SB" w:eastAsia="DFKai-SB" w:hAnsi="DFKai-SB" w:hint="eastAsia"/>
              </w:rPr>
              <w:t>否（須說明）：</w:t>
            </w:r>
          </w:p>
          <w:p w14:paraId="1B2DD986" w14:textId="77777777" w:rsidR="00862B36" w:rsidRPr="00FE3186" w:rsidRDefault="00862B36" w:rsidP="00C06AF4">
            <w:pPr>
              <w:pStyle w:val="a7"/>
              <w:ind w:leftChars="0"/>
              <w:rPr>
                <w:rFonts w:ascii="DFKai-SB" w:eastAsia="DFKai-SB" w:hAnsi="DFKai-SB"/>
              </w:rPr>
            </w:pPr>
          </w:p>
          <w:p w14:paraId="48FEB97A" w14:textId="77777777" w:rsidR="00862B36" w:rsidRPr="00061358" w:rsidRDefault="00061358" w:rsidP="00061358">
            <w:pPr>
              <w:rPr>
                <w:rFonts w:ascii="DFKai-SB" w:eastAsia="DFKai-SB" w:hAnsi="DFKai-SB"/>
              </w:rPr>
            </w:pPr>
            <w:r>
              <w:rPr>
                <w:rFonts w:ascii="DFKai-SB" w:eastAsia="DFKai-SB" w:hAnsi="DFKai-SB" w:hint="eastAsia"/>
              </w:rPr>
              <w:t>3.教師執行提問教學，是否有給學生待答時間，並適度引導回答</w:t>
            </w:r>
            <w:r>
              <w:rPr>
                <w:rFonts w:ascii="DFKai-SB" w:eastAsia="DFKai-SB" w:hAnsi="DFKai-SB"/>
              </w:rPr>
              <w:br/>
            </w:r>
            <w:r>
              <w:rPr>
                <w:rFonts w:ascii="PMingLiU" w:eastAsia="PMingLiU" w:hAnsi="PMingLiU" w:cs="PMingLiU" w:hint="eastAsia"/>
                <w:color w:val="333333"/>
                <w:kern w:val="0"/>
                <w:szCs w:val="24"/>
              </w:rPr>
              <w:t xml:space="preserve">    </w:t>
            </w:r>
            <w:r w:rsidRPr="00061358">
              <w:rPr>
                <w:rFonts w:ascii="DFKai-SB" w:eastAsia="DFKai-SB" w:hAnsi="DFKai-SB" w:cs="PMingLiU" w:hint="eastAsia"/>
                <w:color w:val="333333"/>
                <w:kern w:val="0"/>
                <w:szCs w:val="24"/>
              </w:rPr>
              <w:t>□ 是</w:t>
            </w:r>
            <w:r w:rsidRPr="00061358">
              <w:rPr>
                <w:rFonts w:ascii="DFKai-SB" w:eastAsia="DFKai-SB" w:hAnsi="DFKai-SB"/>
              </w:rPr>
              <w:br/>
            </w:r>
            <w:r w:rsidRPr="00061358">
              <w:rPr>
                <w:rFonts w:ascii="DFKai-SB" w:eastAsia="DFKai-SB" w:hAnsi="DFKai-SB" w:hint="eastAsia"/>
              </w:rPr>
              <w:t xml:space="preserve">    </w:t>
            </w:r>
            <w:r w:rsidRPr="00061358">
              <w:rPr>
                <w:rFonts w:ascii="DFKai-SB" w:eastAsia="DFKai-SB" w:hAnsi="DFKai-SB" w:cs="PMingLiU" w:hint="eastAsia"/>
                <w:color w:val="333333"/>
                <w:kern w:val="0"/>
                <w:szCs w:val="24"/>
              </w:rPr>
              <w:t>□ 否</w:t>
            </w:r>
            <w:r>
              <w:rPr>
                <w:rFonts w:ascii="DFKai-SB" w:eastAsia="DFKai-SB" w:hAnsi="DFKai-SB"/>
              </w:rPr>
              <w:br/>
            </w:r>
          </w:p>
          <w:p w14:paraId="6F1E6851" w14:textId="77777777" w:rsidR="00862B36" w:rsidRPr="00FE3186" w:rsidRDefault="00FE3186" w:rsidP="00FE3186">
            <w:pPr>
              <w:rPr>
                <w:rFonts w:ascii="DFKai-SB" w:eastAsia="DFKai-SB" w:hAnsi="DFKai-SB"/>
                <w:szCs w:val="24"/>
              </w:rPr>
            </w:pPr>
            <w:r w:rsidRPr="00FE3186">
              <w:rPr>
                <w:rFonts w:ascii="DFKai-SB" w:eastAsia="DFKai-SB" w:hAnsi="DFKai-SB" w:hint="eastAsia"/>
                <w:szCs w:val="24"/>
              </w:rPr>
              <w:t>3.教師設計之探究教學，其核心主題是否與學生情境或重要議題能融入</w:t>
            </w:r>
            <w:r w:rsidR="00862B36" w:rsidRPr="00FE3186">
              <w:rPr>
                <w:rFonts w:ascii="DFKai-SB" w:eastAsia="DFKai-SB" w:hAnsi="DFKai-SB" w:hint="eastAsia"/>
                <w:szCs w:val="24"/>
              </w:rPr>
              <w:t>？</w:t>
            </w:r>
          </w:p>
          <w:p w14:paraId="7C94D3F3" w14:textId="77777777" w:rsidR="00862B36" w:rsidRPr="00FE3186" w:rsidRDefault="00862B36" w:rsidP="00C06AF4">
            <w:pPr>
              <w:pStyle w:val="a7"/>
              <w:numPr>
                <w:ilvl w:val="1"/>
                <w:numId w:val="2"/>
              </w:numPr>
              <w:ind w:leftChars="0"/>
              <w:rPr>
                <w:rFonts w:ascii="DFKai-SB" w:eastAsia="DFKai-SB" w:hAnsi="DFKai-SB"/>
              </w:rPr>
            </w:pPr>
            <w:r w:rsidRPr="00FE3186">
              <w:rPr>
                <w:rFonts w:ascii="DFKai-SB" w:eastAsia="DFKai-SB" w:hAnsi="DFKai-SB" w:hint="eastAsia"/>
              </w:rPr>
              <w:t>是</w:t>
            </w:r>
          </w:p>
          <w:p w14:paraId="7493FA19" w14:textId="77777777" w:rsidR="00862B36" w:rsidRPr="00FE3186" w:rsidRDefault="00862B36" w:rsidP="00C06AF4">
            <w:pPr>
              <w:pStyle w:val="a7"/>
              <w:numPr>
                <w:ilvl w:val="1"/>
                <w:numId w:val="2"/>
              </w:numPr>
              <w:ind w:leftChars="0"/>
              <w:rPr>
                <w:rFonts w:ascii="DFKai-SB" w:eastAsia="DFKai-SB" w:hAnsi="DFKai-SB"/>
              </w:rPr>
            </w:pPr>
            <w:r w:rsidRPr="00FE3186">
              <w:rPr>
                <w:rFonts w:ascii="DFKai-SB" w:eastAsia="DFKai-SB" w:hAnsi="DFKai-SB" w:hint="eastAsia"/>
              </w:rPr>
              <w:t>否（須說明）：</w:t>
            </w:r>
          </w:p>
          <w:p w14:paraId="3AF4E782" w14:textId="77777777" w:rsidR="00061358" w:rsidRDefault="00061358" w:rsidP="00C06AF4">
            <w:pPr>
              <w:pStyle w:val="a7"/>
              <w:ind w:leftChars="0" w:left="360"/>
              <w:rPr>
                <w:rFonts w:ascii="DFKai-SB" w:eastAsia="DFKai-SB" w:hAnsi="DFKai-SB"/>
                <w:szCs w:val="24"/>
              </w:rPr>
            </w:pPr>
          </w:p>
          <w:p w14:paraId="60623593" w14:textId="77777777" w:rsidR="00061358" w:rsidRPr="00FE3186" w:rsidRDefault="00061358" w:rsidP="00C06AF4">
            <w:pPr>
              <w:pStyle w:val="a7"/>
              <w:ind w:leftChars="0" w:left="360"/>
              <w:rPr>
                <w:rFonts w:ascii="DFKai-SB" w:eastAsia="DFKai-SB" w:hAnsi="DFKai-SB"/>
                <w:szCs w:val="24"/>
              </w:rPr>
            </w:pPr>
          </w:p>
          <w:p w14:paraId="466CE78B" w14:textId="02059A87" w:rsidR="00862B36" w:rsidRPr="00FE3186" w:rsidRDefault="00061358" w:rsidP="005D7E4C">
            <w:pPr>
              <w:widowControl/>
              <w:shd w:val="clear" w:color="auto" w:fill="FFFFFF"/>
              <w:spacing w:before="100" w:beforeAutospacing="1" w:after="100" w:afterAutospacing="1"/>
              <w:ind w:right="225"/>
              <w:rPr>
                <w:rFonts w:ascii="DFKai-SB" w:eastAsia="DFKai-SB" w:hAnsi="DFKai-SB"/>
              </w:rPr>
            </w:pPr>
            <w:r>
              <w:rPr>
                <w:rFonts w:ascii="PMingLiU" w:eastAsia="PMingLiU" w:hAnsi="PMingLiU" w:cs="PMingLiU" w:hint="eastAsia"/>
                <w:color w:val="333333"/>
                <w:kern w:val="0"/>
                <w:szCs w:val="24"/>
              </w:rPr>
              <w:t>□</w:t>
            </w:r>
            <w:r w:rsidR="00FE3186" w:rsidRPr="00FE3186">
              <w:rPr>
                <w:rFonts w:ascii="DFKai-SB" w:eastAsia="DFKai-SB" w:hAnsi="DFKai-SB" w:cs="PMingLiU"/>
                <w:color w:val="333333"/>
                <w:kern w:val="0"/>
                <w:szCs w:val="24"/>
              </w:rPr>
              <w:t>消除一切形式的貧窮</w:t>
            </w:r>
            <w:r>
              <w:rPr>
                <w:rFonts w:ascii="DFKai-SB" w:eastAsia="DFKai-SB" w:hAnsi="DFKai-SB" w:cs="PMingLiU" w:hint="eastAsia"/>
                <w:color w:val="333333"/>
                <w:kern w:val="0"/>
                <w:szCs w:val="24"/>
              </w:rPr>
              <w:t>、</w:t>
            </w:r>
            <w:r>
              <w:rPr>
                <w:rFonts w:ascii="PMingLiU" w:eastAsia="PMingLiU" w:hAnsi="PMingLiU" w:cs="PMingLiU" w:hint="eastAsia"/>
                <w:color w:val="333333"/>
                <w:kern w:val="0"/>
                <w:szCs w:val="24"/>
              </w:rPr>
              <w:t>□</w:t>
            </w:r>
            <w:r w:rsidR="00FE3186" w:rsidRPr="00FE3186">
              <w:rPr>
                <w:rFonts w:ascii="DFKai-SB" w:eastAsia="DFKai-SB" w:hAnsi="DFKai-SB" w:cs="PMingLiU"/>
                <w:color w:val="333333"/>
                <w:kern w:val="0"/>
                <w:szCs w:val="24"/>
              </w:rPr>
              <w:t>消除飢餓</w:t>
            </w:r>
            <w:r w:rsidRPr="00061358">
              <w:rPr>
                <w:rFonts w:ascii="DFKai-SB" w:eastAsia="DFKai-SB" w:hAnsi="DFKai-SB" w:cs="PMingLiU" w:hint="eastAsia"/>
                <w:color w:val="333333"/>
                <w:kern w:val="0"/>
                <w:szCs w:val="24"/>
              </w:rPr>
              <w:t>、</w:t>
            </w:r>
            <w:r>
              <w:rPr>
                <w:rFonts w:ascii="PMingLiU" w:eastAsia="PMingLiU" w:hAnsi="PMingLiU" w:cs="PMingLiU" w:hint="eastAsia"/>
                <w:color w:val="333333"/>
                <w:kern w:val="0"/>
                <w:szCs w:val="24"/>
              </w:rPr>
              <w:t>□</w:t>
            </w:r>
            <w:r w:rsidR="00FE3186" w:rsidRPr="00FE3186">
              <w:rPr>
                <w:rFonts w:ascii="DFKai-SB" w:eastAsia="DFKai-SB" w:hAnsi="DFKai-SB" w:cs="PMingLiU"/>
                <w:color w:val="333333"/>
                <w:kern w:val="0"/>
                <w:szCs w:val="24"/>
              </w:rPr>
              <w:t>健康與福祉</w:t>
            </w:r>
            <w:r w:rsidRPr="00061358">
              <w:rPr>
                <w:rFonts w:ascii="DFKai-SB" w:eastAsia="DFKai-SB" w:hAnsi="DFKai-SB" w:cs="PMingLiU" w:hint="eastAsia"/>
                <w:color w:val="333333"/>
                <w:kern w:val="0"/>
                <w:szCs w:val="24"/>
              </w:rPr>
              <w:t>、</w:t>
            </w:r>
            <w:r>
              <w:rPr>
                <w:rFonts w:ascii="PMingLiU" w:eastAsia="PMingLiU" w:hAnsi="PMingLiU" w:cs="PMingLiU" w:hint="eastAsia"/>
                <w:color w:val="333333"/>
                <w:kern w:val="0"/>
                <w:szCs w:val="24"/>
              </w:rPr>
              <w:t>□</w:t>
            </w:r>
            <w:r w:rsidR="00FE3186" w:rsidRPr="00FE3186">
              <w:rPr>
                <w:rFonts w:ascii="DFKai-SB" w:eastAsia="DFKai-SB" w:hAnsi="DFKai-SB" w:cs="PMingLiU"/>
                <w:color w:val="333333"/>
                <w:kern w:val="0"/>
                <w:szCs w:val="24"/>
              </w:rPr>
              <w:t>優質教育</w:t>
            </w:r>
            <w:r w:rsidRPr="00061358">
              <w:rPr>
                <w:rFonts w:ascii="DFKai-SB" w:eastAsia="DFKai-SB" w:hAnsi="DFKai-SB" w:cs="PMingLiU" w:hint="eastAsia"/>
                <w:color w:val="333333"/>
                <w:kern w:val="0"/>
                <w:szCs w:val="24"/>
              </w:rPr>
              <w:t>、</w:t>
            </w:r>
            <w:r>
              <w:rPr>
                <w:rFonts w:ascii="PMingLiU" w:eastAsia="PMingLiU" w:hAnsi="PMingLiU" w:cs="PMingLiU" w:hint="eastAsia"/>
                <w:color w:val="333333"/>
                <w:kern w:val="0"/>
                <w:szCs w:val="24"/>
              </w:rPr>
              <w:t>□</w:t>
            </w:r>
            <w:r w:rsidR="00FE3186" w:rsidRPr="00FE3186">
              <w:rPr>
                <w:rFonts w:ascii="DFKai-SB" w:eastAsia="DFKai-SB" w:hAnsi="DFKai-SB" w:cs="PMingLiU"/>
                <w:color w:val="333333"/>
                <w:kern w:val="0"/>
                <w:szCs w:val="24"/>
              </w:rPr>
              <w:t>性別平等</w:t>
            </w:r>
            <w:r w:rsidRPr="00061358">
              <w:rPr>
                <w:rFonts w:ascii="DFKai-SB" w:eastAsia="DFKai-SB" w:hAnsi="DFKai-SB" w:cs="PMingLiU" w:hint="eastAsia"/>
                <w:color w:val="333333"/>
                <w:kern w:val="0"/>
                <w:szCs w:val="24"/>
              </w:rPr>
              <w:t>、</w:t>
            </w:r>
            <w:r>
              <w:rPr>
                <w:rFonts w:ascii="PMingLiU" w:eastAsia="PMingLiU" w:hAnsi="PMingLiU" w:cs="PMingLiU" w:hint="eastAsia"/>
                <w:color w:val="333333"/>
                <w:kern w:val="0"/>
                <w:szCs w:val="24"/>
              </w:rPr>
              <w:t>□</w:t>
            </w:r>
            <w:r w:rsidR="00FE3186" w:rsidRPr="00FE3186">
              <w:rPr>
                <w:rFonts w:ascii="DFKai-SB" w:eastAsia="DFKai-SB" w:hAnsi="DFKai-SB" w:cs="PMingLiU"/>
                <w:color w:val="333333"/>
                <w:kern w:val="0"/>
                <w:szCs w:val="24"/>
              </w:rPr>
              <w:t>淨水及衛生</w:t>
            </w:r>
            <w:r w:rsidRPr="00061358">
              <w:rPr>
                <w:rFonts w:ascii="DFKai-SB" w:eastAsia="DFKai-SB" w:hAnsi="DFKai-SB" w:cs="PMingLiU" w:hint="eastAsia"/>
                <w:color w:val="333333"/>
                <w:kern w:val="0"/>
                <w:szCs w:val="24"/>
              </w:rPr>
              <w:t>、</w:t>
            </w:r>
            <w:r>
              <w:rPr>
                <w:rFonts w:ascii="PMingLiU" w:eastAsia="PMingLiU" w:hAnsi="PMingLiU" w:cs="PMingLiU" w:hint="eastAsia"/>
                <w:color w:val="333333"/>
                <w:kern w:val="0"/>
                <w:szCs w:val="24"/>
              </w:rPr>
              <w:t>□</w:t>
            </w:r>
            <w:r w:rsidR="00FE3186" w:rsidRPr="00FE3186">
              <w:rPr>
                <w:rFonts w:ascii="DFKai-SB" w:eastAsia="DFKai-SB" w:hAnsi="DFKai-SB" w:cs="PMingLiU"/>
                <w:color w:val="333333"/>
                <w:kern w:val="0"/>
                <w:szCs w:val="24"/>
              </w:rPr>
              <w:t>可負擔的潔淨能源</w:t>
            </w:r>
            <w:r w:rsidRPr="00061358">
              <w:rPr>
                <w:rFonts w:ascii="DFKai-SB" w:eastAsia="DFKai-SB" w:hAnsi="DFKai-SB" w:cs="PMingLiU" w:hint="eastAsia"/>
                <w:color w:val="333333"/>
                <w:kern w:val="0"/>
                <w:szCs w:val="24"/>
              </w:rPr>
              <w:t>、</w:t>
            </w:r>
            <w:r>
              <w:rPr>
                <w:rFonts w:ascii="PMingLiU" w:eastAsia="PMingLiU" w:hAnsi="PMingLiU" w:cs="PMingLiU" w:hint="eastAsia"/>
                <w:color w:val="333333"/>
                <w:kern w:val="0"/>
                <w:szCs w:val="24"/>
              </w:rPr>
              <w:t>□</w:t>
            </w:r>
            <w:r w:rsidR="00FE3186" w:rsidRPr="00FE3186">
              <w:rPr>
                <w:rFonts w:ascii="DFKai-SB" w:eastAsia="DFKai-SB" w:hAnsi="DFKai-SB" w:cs="PMingLiU"/>
                <w:color w:val="333333"/>
                <w:kern w:val="0"/>
                <w:szCs w:val="24"/>
              </w:rPr>
              <w:t>就業與經濟成長</w:t>
            </w:r>
            <w:r w:rsidRPr="00061358">
              <w:rPr>
                <w:rFonts w:ascii="DFKai-SB" w:eastAsia="DFKai-SB" w:hAnsi="DFKai-SB" w:cs="PMingLiU" w:hint="eastAsia"/>
                <w:color w:val="333333"/>
                <w:kern w:val="0"/>
                <w:szCs w:val="24"/>
              </w:rPr>
              <w:t>、</w:t>
            </w:r>
            <w:r>
              <w:rPr>
                <w:rFonts w:ascii="PMingLiU" w:eastAsia="PMingLiU" w:hAnsi="PMingLiU" w:cs="PMingLiU" w:hint="eastAsia"/>
                <w:color w:val="333333"/>
                <w:kern w:val="0"/>
                <w:szCs w:val="24"/>
              </w:rPr>
              <w:t>□</w:t>
            </w:r>
            <w:r w:rsidR="00FE3186" w:rsidRPr="00FE3186">
              <w:rPr>
                <w:rFonts w:ascii="DFKai-SB" w:eastAsia="DFKai-SB" w:hAnsi="DFKai-SB" w:cs="PMingLiU"/>
                <w:color w:val="333333"/>
                <w:kern w:val="0"/>
                <w:szCs w:val="24"/>
              </w:rPr>
              <w:t>工業化創新及基礎建設</w:t>
            </w:r>
            <w:r w:rsidRPr="00061358">
              <w:rPr>
                <w:rFonts w:ascii="DFKai-SB" w:eastAsia="DFKai-SB" w:hAnsi="DFKai-SB" w:cs="PMingLiU" w:hint="eastAsia"/>
                <w:color w:val="333333"/>
                <w:kern w:val="0"/>
                <w:szCs w:val="24"/>
              </w:rPr>
              <w:t>、</w:t>
            </w:r>
            <w:r>
              <w:rPr>
                <w:rFonts w:ascii="PMingLiU" w:eastAsia="PMingLiU" w:hAnsi="PMingLiU" w:cs="PMingLiU" w:hint="eastAsia"/>
                <w:color w:val="333333"/>
                <w:kern w:val="0"/>
                <w:szCs w:val="24"/>
              </w:rPr>
              <w:t>□</w:t>
            </w:r>
            <w:r w:rsidR="00FE3186" w:rsidRPr="00FE3186">
              <w:rPr>
                <w:rFonts w:ascii="DFKai-SB" w:eastAsia="DFKai-SB" w:hAnsi="DFKai-SB" w:cs="PMingLiU"/>
                <w:color w:val="333333"/>
                <w:kern w:val="0"/>
                <w:szCs w:val="24"/>
              </w:rPr>
              <w:t>減少不平等</w:t>
            </w:r>
            <w:r w:rsidRPr="00061358">
              <w:rPr>
                <w:rFonts w:ascii="DFKai-SB" w:eastAsia="DFKai-SB" w:hAnsi="DFKai-SB" w:cs="PMingLiU" w:hint="eastAsia"/>
                <w:color w:val="333333"/>
                <w:kern w:val="0"/>
                <w:szCs w:val="24"/>
              </w:rPr>
              <w:t>、</w:t>
            </w:r>
            <w:r>
              <w:rPr>
                <w:rFonts w:ascii="PMingLiU" w:eastAsia="PMingLiU" w:hAnsi="PMingLiU" w:cs="PMingLiU" w:hint="eastAsia"/>
                <w:color w:val="333333"/>
                <w:kern w:val="0"/>
                <w:szCs w:val="24"/>
              </w:rPr>
              <w:t>□</w:t>
            </w:r>
            <w:r w:rsidR="00FE3186" w:rsidRPr="00FE3186">
              <w:rPr>
                <w:rFonts w:ascii="DFKai-SB" w:eastAsia="DFKai-SB" w:hAnsi="DFKai-SB" w:cs="PMingLiU"/>
                <w:color w:val="333333"/>
                <w:kern w:val="0"/>
                <w:szCs w:val="24"/>
              </w:rPr>
              <w:t>永續城鄉</w:t>
            </w:r>
            <w:r w:rsidRPr="00061358">
              <w:rPr>
                <w:rFonts w:ascii="DFKai-SB" w:eastAsia="DFKai-SB" w:hAnsi="DFKai-SB" w:cs="PMingLiU" w:hint="eastAsia"/>
                <w:color w:val="333333"/>
                <w:kern w:val="0"/>
                <w:szCs w:val="24"/>
              </w:rPr>
              <w:t>、</w:t>
            </w:r>
            <w:r>
              <w:rPr>
                <w:rFonts w:ascii="PMingLiU" w:eastAsia="PMingLiU" w:hAnsi="PMingLiU" w:cs="PMingLiU" w:hint="eastAsia"/>
                <w:color w:val="333333"/>
                <w:kern w:val="0"/>
                <w:szCs w:val="24"/>
              </w:rPr>
              <w:t>□</w:t>
            </w:r>
            <w:r w:rsidR="00FE3186" w:rsidRPr="00FE3186">
              <w:rPr>
                <w:rFonts w:ascii="DFKai-SB" w:eastAsia="DFKai-SB" w:hAnsi="DFKai-SB" w:cs="PMingLiU"/>
                <w:color w:val="333333"/>
                <w:kern w:val="0"/>
                <w:szCs w:val="24"/>
              </w:rPr>
              <w:t>責任消費及生產</w:t>
            </w:r>
            <w:r w:rsidRPr="00061358">
              <w:rPr>
                <w:rFonts w:ascii="DFKai-SB" w:eastAsia="DFKai-SB" w:hAnsi="DFKai-SB" w:cs="PMingLiU" w:hint="eastAsia"/>
                <w:color w:val="333333"/>
                <w:kern w:val="0"/>
                <w:szCs w:val="24"/>
              </w:rPr>
              <w:t>、</w:t>
            </w:r>
            <w:r>
              <w:rPr>
                <w:rFonts w:ascii="PMingLiU" w:eastAsia="PMingLiU" w:hAnsi="PMingLiU" w:cs="PMingLiU" w:hint="eastAsia"/>
                <w:color w:val="333333"/>
                <w:kern w:val="0"/>
                <w:szCs w:val="24"/>
              </w:rPr>
              <w:t>□</w:t>
            </w:r>
            <w:r w:rsidR="00FE3186" w:rsidRPr="00FE3186">
              <w:rPr>
                <w:rFonts w:ascii="DFKai-SB" w:eastAsia="DFKai-SB" w:hAnsi="DFKai-SB" w:cs="PMingLiU"/>
                <w:color w:val="333333"/>
                <w:kern w:val="0"/>
                <w:szCs w:val="24"/>
              </w:rPr>
              <w:t>氣候行動</w:t>
            </w:r>
            <w:r w:rsidRPr="00061358">
              <w:rPr>
                <w:rFonts w:ascii="DFKai-SB" w:eastAsia="DFKai-SB" w:hAnsi="DFKai-SB" w:cs="PMingLiU" w:hint="eastAsia"/>
                <w:color w:val="333333"/>
                <w:kern w:val="0"/>
                <w:szCs w:val="24"/>
              </w:rPr>
              <w:t>、</w:t>
            </w:r>
            <w:r>
              <w:rPr>
                <w:rFonts w:ascii="PMingLiU" w:eastAsia="PMingLiU" w:hAnsi="PMingLiU" w:cs="PMingLiU" w:hint="eastAsia"/>
                <w:color w:val="333333"/>
                <w:kern w:val="0"/>
                <w:szCs w:val="24"/>
              </w:rPr>
              <w:t>□</w:t>
            </w:r>
            <w:r w:rsidR="00FE3186" w:rsidRPr="00FE3186">
              <w:rPr>
                <w:rFonts w:ascii="DFKai-SB" w:eastAsia="DFKai-SB" w:hAnsi="DFKai-SB" w:cs="PMingLiU"/>
                <w:color w:val="333333"/>
                <w:kern w:val="0"/>
                <w:szCs w:val="24"/>
              </w:rPr>
              <w:t>保育海洋生態</w:t>
            </w:r>
            <w:r w:rsidRPr="00061358">
              <w:rPr>
                <w:rFonts w:ascii="DFKai-SB" w:eastAsia="DFKai-SB" w:hAnsi="DFKai-SB" w:cs="PMingLiU" w:hint="eastAsia"/>
                <w:color w:val="333333"/>
                <w:kern w:val="0"/>
                <w:szCs w:val="24"/>
              </w:rPr>
              <w:t>、</w:t>
            </w:r>
            <w:r w:rsidR="00FE3186" w:rsidRPr="00FE3186">
              <w:rPr>
                <w:rFonts w:ascii="DFKai-SB" w:eastAsia="DFKai-SB" w:hAnsi="DFKai-SB" w:cs="PMingLiU"/>
                <w:color w:val="333333"/>
                <w:kern w:val="0"/>
                <w:szCs w:val="24"/>
              </w:rPr>
              <w:t>保育陸域生態</w:t>
            </w:r>
            <w:r w:rsidRPr="00061358">
              <w:rPr>
                <w:rFonts w:ascii="DFKai-SB" w:eastAsia="DFKai-SB" w:hAnsi="DFKai-SB" w:cs="PMingLiU" w:hint="eastAsia"/>
                <w:color w:val="333333"/>
                <w:kern w:val="0"/>
                <w:szCs w:val="24"/>
              </w:rPr>
              <w:t>、</w:t>
            </w:r>
            <w:r>
              <w:rPr>
                <w:rFonts w:ascii="PMingLiU" w:eastAsia="PMingLiU" w:hAnsi="PMingLiU" w:cs="PMingLiU" w:hint="eastAsia"/>
                <w:color w:val="333333"/>
                <w:kern w:val="0"/>
                <w:szCs w:val="24"/>
              </w:rPr>
              <w:t>□</w:t>
            </w:r>
            <w:r w:rsidR="00FE3186" w:rsidRPr="00FE3186">
              <w:rPr>
                <w:rFonts w:ascii="DFKai-SB" w:eastAsia="DFKai-SB" w:hAnsi="DFKai-SB" w:cs="PMingLiU"/>
                <w:color w:val="333333"/>
                <w:kern w:val="0"/>
                <w:szCs w:val="24"/>
              </w:rPr>
              <w:t>和平、正義及健全制度</w:t>
            </w:r>
            <w:r w:rsidRPr="00061358">
              <w:rPr>
                <w:rFonts w:ascii="DFKai-SB" w:eastAsia="DFKai-SB" w:hAnsi="DFKai-SB" w:cs="PMingLiU" w:hint="eastAsia"/>
                <w:color w:val="333333"/>
                <w:kern w:val="0"/>
                <w:szCs w:val="24"/>
              </w:rPr>
              <w:t>、</w:t>
            </w:r>
            <w:r>
              <w:rPr>
                <w:rFonts w:ascii="PMingLiU" w:eastAsia="PMingLiU" w:hAnsi="PMingLiU" w:cs="PMingLiU" w:hint="eastAsia"/>
                <w:color w:val="333333"/>
                <w:kern w:val="0"/>
                <w:szCs w:val="24"/>
              </w:rPr>
              <w:t>□</w:t>
            </w:r>
            <w:r w:rsidR="00FE3186" w:rsidRPr="00FE3186">
              <w:rPr>
                <w:rFonts w:ascii="DFKai-SB" w:eastAsia="DFKai-SB" w:hAnsi="DFKai-SB" w:cs="PMingLiU"/>
                <w:color w:val="333333"/>
                <w:kern w:val="0"/>
                <w:szCs w:val="24"/>
              </w:rPr>
              <w:t>建立具公信力的司法體系</w:t>
            </w:r>
            <w:r>
              <w:rPr>
                <w:rFonts w:ascii="DFKai-SB" w:eastAsia="DFKai-SB" w:hAnsi="DFKai-SB" w:cs="PMingLiU" w:hint="eastAsia"/>
                <w:color w:val="333333"/>
                <w:kern w:val="0"/>
                <w:szCs w:val="24"/>
              </w:rPr>
              <w:t>、</w:t>
            </w:r>
            <w:r>
              <w:rPr>
                <w:rFonts w:ascii="PMingLiU" w:eastAsia="PMingLiU" w:hAnsi="PMingLiU" w:cs="PMingLiU" w:hint="eastAsia"/>
                <w:color w:val="333333"/>
                <w:kern w:val="0"/>
                <w:szCs w:val="24"/>
              </w:rPr>
              <w:t>□</w:t>
            </w:r>
            <w:r w:rsidRPr="00061358">
              <w:rPr>
                <w:rFonts w:ascii="DFKai-SB" w:eastAsia="DFKai-SB" w:hAnsi="DFKai-SB" w:cs="PMingLiU" w:hint="eastAsia"/>
                <w:color w:val="333333"/>
                <w:kern w:val="0"/>
                <w:szCs w:val="24"/>
              </w:rPr>
              <w:t>多</w:t>
            </w:r>
            <w:r w:rsidR="00FE3186" w:rsidRPr="00FE3186">
              <w:rPr>
                <w:rFonts w:ascii="DFKai-SB" w:eastAsia="DFKai-SB" w:hAnsi="DFKai-SB" w:cs="PMingLiU"/>
                <w:color w:val="333333"/>
                <w:kern w:val="0"/>
                <w:szCs w:val="24"/>
              </w:rPr>
              <w:t>元夥伴關係</w:t>
            </w:r>
            <w:r w:rsidRPr="00061358">
              <w:rPr>
                <w:rFonts w:ascii="DFKai-SB" w:eastAsia="DFKai-SB" w:hAnsi="DFKai-SB" w:cs="PMingLiU" w:hint="eastAsia"/>
                <w:color w:val="333333"/>
                <w:kern w:val="0"/>
                <w:szCs w:val="24"/>
              </w:rPr>
              <w:t>。</w:t>
            </w:r>
          </w:p>
        </w:tc>
      </w:tr>
    </w:tbl>
    <w:p w14:paraId="03FF29D8" w14:textId="77777777" w:rsidR="005F25A1" w:rsidRPr="00FE3186" w:rsidRDefault="005F25A1" w:rsidP="005F25A1">
      <w:pPr>
        <w:jc w:val="both"/>
        <w:rPr>
          <w:rFonts w:ascii="DFKai-SB" w:eastAsia="DFKai-SB" w:hAnsi="DFKai-SB" w:hint="eastAsia"/>
        </w:rPr>
      </w:pPr>
    </w:p>
    <w:sectPr w:rsidR="005F25A1" w:rsidRPr="00FE3186" w:rsidSect="005F25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9FE8E" w14:textId="77777777" w:rsidR="00B433FF" w:rsidRDefault="00B433FF">
      <w:r>
        <w:separator/>
      </w:r>
    </w:p>
  </w:endnote>
  <w:endnote w:type="continuationSeparator" w:id="0">
    <w:p w14:paraId="4BF5F5E0" w14:textId="77777777" w:rsidR="00B433FF" w:rsidRDefault="00B43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FKai-SB">
    <w:altName w:val="標楷體"/>
    <w:panose1 w:val="03000509000000000000"/>
    <w:charset w:val="88"/>
    <w:family w:val="script"/>
    <w:pitch w:val="fixed"/>
    <w:sig w:usb0="F1002BFF" w:usb1="29DFFFFF" w:usb2="00000037" w:usb3="00000000" w:csb0="001000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1CBC2" w14:textId="77777777" w:rsidR="00DF05BA" w:rsidRDefault="005F25A1" w:rsidP="00DF05BA">
    <w:pPr>
      <w:pStyle w:val="a5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3A52B249" w14:textId="77777777" w:rsidR="00DF05BA" w:rsidRDefault="00000000" w:rsidP="00DF05B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B544E" w14:textId="77777777" w:rsidR="00DF05BA" w:rsidRDefault="005F25A1" w:rsidP="00DF05BA">
    <w:pPr>
      <w:pStyle w:val="a5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E29C4">
      <w:rPr>
        <w:rStyle w:val="ab"/>
        <w:noProof/>
      </w:rPr>
      <w:t>13</w:t>
    </w:r>
    <w:r>
      <w:rPr>
        <w:rStyle w:val="ab"/>
      </w:rPr>
      <w:fldChar w:fldCharType="end"/>
    </w:r>
  </w:p>
  <w:p w14:paraId="421DFF0A" w14:textId="77777777" w:rsidR="00DF05BA" w:rsidRPr="00C87454" w:rsidRDefault="00000000" w:rsidP="00DF05B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62D4F" w14:textId="77777777" w:rsidR="00B433FF" w:rsidRDefault="00B433FF">
      <w:r>
        <w:separator/>
      </w:r>
    </w:p>
  </w:footnote>
  <w:footnote w:type="continuationSeparator" w:id="0">
    <w:p w14:paraId="798CD884" w14:textId="77777777" w:rsidR="00B433FF" w:rsidRDefault="00B43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48D5E" w14:textId="77777777" w:rsidR="00DF05BA" w:rsidRDefault="00000000" w:rsidP="00DF05BA">
    <w:pPr>
      <w:pStyle w:val="a3"/>
      <w:ind w:firstLine="4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01B5D" w14:textId="77777777" w:rsidR="00DF05BA" w:rsidRPr="009B046C" w:rsidRDefault="00000000" w:rsidP="00DF05BA">
    <w:pPr>
      <w:pStyle w:val="a3"/>
      <w:ind w:firstLine="4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8594A" w14:textId="77777777" w:rsidR="00DF05BA" w:rsidRDefault="00000000" w:rsidP="00DF05BA">
    <w:pPr>
      <w:pStyle w:val="a3"/>
      <w:ind w:firstLine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94765"/>
    <w:multiLevelType w:val="hybridMultilevel"/>
    <w:tmpl w:val="60784C8C"/>
    <w:lvl w:ilvl="0" w:tplc="A21440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4AE6D8C">
      <w:start w:val="1"/>
      <w:numFmt w:val="bullet"/>
      <w:lvlText w:val="□"/>
      <w:lvlJc w:val="left"/>
      <w:pPr>
        <w:ind w:left="840" w:hanging="360"/>
      </w:pPr>
      <w:rPr>
        <w:rFonts w:ascii="PMingLiU" w:eastAsia="PMingLiU" w:hAnsi="PMingLiU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566422F"/>
    <w:multiLevelType w:val="multilevel"/>
    <w:tmpl w:val="7AA69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4416CE"/>
    <w:multiLevelType w:val="hybridMultilevel"/>
    <w:tmpl w:val="5DDAE9C0"/>
    <w:lvl w:ilvl="0" w:tplc="1B889130">
      <w:start w:val="1"/>
      <w:numFmt w:val="taiwaneseCountingThousand"/>
      <w:lvlText w:val="%1、"/>
      <w:lvlJc w:val="left"/>
      <w:pPr>
        <w:ind w:left="480" w:hanging="480"/>
      </w:pPr>
      <w:rPr>
        <w:rFonts w:ascii="PMingLiU" w:eastAsia="PMingLiU" w:hAnsi="PMingLiU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21791808">
    <w:abstractNumId w:val="2"/>
  </w:num>
  <w:num w:numId="2" w16cid:durableId="618681834">
    <w:abstractNumId w:val="0"/>
  </w:num>
  <w:num w:numId="3" w16cid:durableId="1364866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F4C"/>
    <w:rsid w:val="00061358"/>
    <w:rsid w:val="003E70C0"/>
    <w:rsid w:val="003F0A9C"/>
    <w:rsid w:val="005D7E4C"/>
    <w:rsid w:val="005F25A1"/>
    <w:rsid w:val="008426E4"/>
    <w:rsid w:val="00862B36"/>
    <w:rsid w:val="009E29C4"/>
    <w:rsid w:val="009F5F4C"/>
    <w:rsid w:val="00B433FF"/>
    <w:rsid w:val="00B912DA"/>
    <w:rsid w:val="00D76D34"/>
    <w:rsid w:val="00F36C41"/>
    <w:rsid w:val="00FE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C79F74"/>
  <w15:chartTrackingRefBased/>
  <w15:docId w15:val="{8953180A-6ECE-4944-B162-8C0FCB973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F25A1"/>
    <w:pPr>
      <w:tabs>
        <w:tab w:val="center" w:pos="4153"/>
        <w:tab w:val="right" w:pos="8306"/>
      </w:tabs>
      <w:snapToGrid w:val="0"/>
    </w:pPr>
    <w:rPr>
      <w:rFonts w:ascii="Times New Roman" w:eastAsia="PMingLiU" w:hAnsi="Times New Roman" w:cs="Times New Roman"/>
      <w:sz w:val="20"/>
      <w:szCs w:val="20"/>
    </w:rPr>
  </w:style>
  <w:style w:type="character" w:customStyle="1" w:styleId="a4">
    <w:name w:val="ヘッダー (文字)"/>
    <w:basedOn w:val="a0"/>
    <w:link w:val="a3"/>
    <w:rsid w:val="005F25A1"/>
    <w:rPr>
      <w:rFonts w:ascii="Times New Roman" w:eastAsia="PMingLiU" w:hAnsi="Times New Roman" w:cs="Times New Roman"/>
      <w:sz w:val="20"/>
      <w:szCs w:val="20"/>
    </w:rPr>
  </w:style>
  <w:style w:type="paragraph" w:styleId="a5">
    <w:name w:val="footer"/>
    <w:basedOn w:val="a"/>
    <w:link w:val="a6"/>
    <w:rsid w:val="005F25A1"/>
    <w:pPr>
      <w:tabs>
        <w:tab w:val="center" w:pos="4153"/>
        <w:tab w:val="right" w:pos="8306"/>
      </w:tabs>
      <w:snapToGrid w:val="0"/>
    </w:pPr>
    <w:rPr>
      <w:rFonts w:ascii="Times New Roman" w:eastAsia="PMingLiU" w:hAnsi="Times New Roman" w:cs="Times New Roman"/>
      <w:sz w:val="20"/>
      <w:szCs w:val="20"/>
    </w:rPr>
  </w:style>
  <w:style w:type="character" w:customStyle="1" w:styleId="a6">
    <w:name w:val="フッター (文字)"/>
    <w:basedOn w:val="a0"/>
    <w:link w:val="a5"/>
    <w:rsid w:val="005F25A1"/>
    <w:rPr>
      <w:rFonts w:ascii="Times New Roman" w:eastAsia="PMingLiU" w:hAnsi="Times New Roman" w:cs="Times New Roman"/>
      <w:sz w:val="20"/>
      <w:szCs w:val="20"/>
    </w:rPr>
  </w:style>
  <w:style w:type="paragraph" w:styleId="a7">
    <w:name w:val="List Paragraph"/>
    <w:basedOn w:val="a"/>
    <w:link w:val="a8"/>
    <w:uiPriority w:val="34"/>
    <w:qFormat/>
    <w:rsid w:val="005F25A1"/>
    <w:pPr>
      <w:ind w:leftChars="200" w:left="480"/>
    </w:pPr>
    <w:rPr>
      <w:rFonts w:ascii="Calibri" w:eastAsia="PMingLiU" w:hAnsi="Calibri" w:cs="Times New Roman"/>
    </w:rPr>
  </w:style>
  <w:style w:type="paragraph" w:styleId="a9">
    <w:name w:val="Plain Text"/>
    <w:basedOn w:val="a"/>
    <w:link w:val="aa"/>
    <w:rsid w:val="005F25A1"/>
    <w:rPr>
      <w:rFonts w:ascii="MingLiU" w:eastAsia="MingLiU" w:hAnsi="Courier New" w:cs="Courier New"/>
      <w:szCs w:val="24"/>
    </w:rPr>
  </w:style>
  <w:style w:type="character" w:customStyle="1" w:styleId="aa">
    <w:name w:val="書式なし (文字)"/>
    <w:basedOn w:val="a0"/>
    <w:link w:val="a9"/>
    <w:rsid w:val="005F25A1"/>
    <w:rPr>
      <w:rFonts w:ascii="MingLiU" w:eastAsia="MingLiU" w:hAnsi="Courier New" w:cs="Courier New"/>
      <w:szCs w:val="24"/>
    </w:rPr>
  </w:style>
  <w:style w:type="character" w:customStyle="1" w:styleId="a8">
    <w:name w:val="リスト段落 (文字)"/>
    <w:link w:val="a7"/>
    <w:uiPriority w:val="34"/>
    <w:rsid w:val="005F25A1"/>
    <w:rPr>
      <w:rFonts w:ascii="Calibri" w:eastAsia="PMingLiU" w:hAnsi="Calibri" w:cs="Times New Roman"/>
    </w:rPr>
  </w:style>
  <w:style w:type="character" w:styleId="ab">
    <w:name w:val="page number"/>
    <w:rsid w:val="005F25A1"/>
  </w:style>
  <w:style w:type="paragraph" w:styleId="Web">
    <w:name w:val="Normal (Web)"/>
    <w:basedOn w:val="a"/>
    <w:uiPriority w:val="99"/>
    <w:unhideWhenUsed/>
    <w:rsid w:val="008426E4"/>
    <w:pPr>
      <w:widowControl/>
      <w:spacing w:before="100" w:beforeAutospacing="1" w:after="100" w:afterAutospacing="1"/>
    </w:pPr>
    <w:rPr>
      <w:rFonts w:ascii="PMingLiU" w:eastAsia="PMingLiU" w:hAnsi="PMingLiU" w:cs="PMingLiU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0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永松 大輔</cp:lastModifiedBy>
  <cp:revision>6</cp:revision>
  <dcterms:created xsi:type="dcterms:W3CDTF">2022-08-27T03:04:00Z</dcterms:created>
  <dcterms:modified xsi:type="dcterms:W3CDTF">2022-08-27T03:33:00Z</dcterms:modified>
</cp:coreProperties>
</file>